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4A5A" w14:textId="66463635" w:rsidR="004A1B2A" w:rsidRDefault="004A1B2A" w:rsidP="002A527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TENNESSEE BOARD OF REGENTS</w:t>
      </w:r>
    </w:p>
    <w:p w14:paraId="138C7EB1" w14:textId="494EBDC2" w:rsidR="00B519E3" w:rsidRPr="00BA3230" w:rsidRDefault="00A641B0" w:rsidP="002A5278">
      <w:pPr>
        <w:spacing w:line="240" w:lineRule="auto"/>
        <w:jc w:val="center"/>
        <w:rPr>
          <w:rFonts w:ascii="Arial" w:hAnsi="Arial" w:cs="Arial"/>
          <w:b/>
        </w:rPr>
      </w:pPr>
      <w:r w:rsidRPr="00BA3230">
        <w:rPr>
          <w:rFonts w:ascii="Arial" w:hAnsi="Arial" w:cs="Arial"/>
          <w:b/>
        </w:rPr>
        <w:t>REQUEST FOR PROPOSAL (RF</w:t>
      </w:r>
      <w:r w:rsidR="00416ACA" w:rsidRPr="00BA3230">
        <w:rPr>
          <w:rFonts w:ascii="Arial" w:hAnsi="Arial" w:cs="Arial"/>
          <w:b/>
        </w:rPr>
        <w:t>P</w:t>
      </w:r>
      <w:r w:rsidRPr="00BA3230">
        <w:rPr>
          <w:rFonts w:ascii="Arial" w:hAnsi="Arial" w:cs="Arial"/>
          <w:b/>
        </w:rPr>
        <w:t xml:space="preserve">) </w:t>
      </w:r>
      <w:r w:rsidR="00951AB7">
        <w:rPr>
          <w:rFonts w:ascii="Arial" w:hAnsi="Arial" w:cs="Arial"/>
          <w:b/>
        </w:rPr>
        <w:t>18-0005</w:t>
      </w:r>
    </w:p>
    <w:p w14:paraId="611A6575" w14:textId="119CA47C" w:rsidR="008B27E4" w:rsidRDefault="00951AB7" w:rsidP="00D41782">
      <w:pPr>
        <w:pStyle w:val="Title"/>
        <w:rPr>
          <w:rFonts w:ascii="Arial" w:eastAsiaTheme="minorHAnsi" w:hAnsi="Arial" w:cs="Arial"/>
          <w:caps/>
          <w:sz w:val="22"/>
          <w:szCs w:val="22"/>
          <w:u w:val="none"/>
        </w:rPr>
      </w:pPr>
      <w:r>
        <w:rPr>
          <w:rFonts w:ascii="Arial" w:eastAsiaTheme="minorHAnsi" w:hAnsi="Arial" w:cs="Arial"/>
          <w:caps/>
          <w:sz w:val="22"/>
          <w:szCs w:val="22"/>
          <w:u w:val="none"/>
        </w:rPr>
        <w:t>Compensation Study</w:t>
      </w:r>
    </w:p>
    <w:p w14:paraId="61A22B07" w14:textId="69F55F65" w:rsidR="00A641B0" w:rsidRPr="00BA3230" w:rsidRDefault="00A641B0" w:rsidP="00D41782">
      <w:pPr>
        <w:pStyle w:val="Title"/>
        <w:rPr>
          <w:rFonts w:ascii="Arial" w:hAnsi="Arial" w:cs="Arial"/>
          <w:b w:val="0"/>
          <w:sz w:val="22"/>
          <w:szCs w:val="22"/>
          <w:u w:val="none"/>
        </w:rPr>
      </w:pPr>
      <w:r w:rsidRPr="00BA3230">
        <w:rPr>
          <w:rFonts w:ascii="Arial" w:hAnsi="Arial" w:cs="Arial"/>
          <w:sz w:val="22"/>
          <w:szCs w:val="22"/>
          <w:u w:val="none"/>
        </w:rPr>
        <w:t>QUESTIONS AND RESPONSES</w:t>
      </w:r>
    </w:p>
    <w:p w14:paraId="2559A381" w14:textId="52D6A7E8" w:rsidR="00A641B0" w:rsidRPr="00BA3230" w:rsidRDefault="00EF6052" w:rsidP="00A641B0">
      <w:pPr>
        <w:spacing w:line="240" w:lineRule="auto"/>
        <w:jc w:val="center"/>
        <w:rPr>
          <w:rFonts w:ascii="Arial" w:hAnsi="Arial" w:cs="Arial"/>
          <w:b/>
        </w:rPr>
      </w:pPr>
      <w:r w:rsidRPr="00BA3230">
        <w:rPr>
          <w:rFonts w:ascii="Arial" w:hAnsi="Arial" w:cs="Arial"/>
          <w:b/>
        </w:rPr>
        <w:t xml:space="preserve">DATE: </w:t>
      </w:r>
      <w:r w:rsidR="00951AB7">
        <w:rPr>
          <w:rFonts w:ascii="Arial" w:hAnsi="Arial" w:cs="Arial"/>
          <w:b/>
        </w:rPr>
        <w:t>September 13, 2017</w:t>
      </w:r>
    </w:p>
    <w:p w14:paraId="7AE25E48" w14:textId="77777777" w:rsidR="000B5EBC" w:rsidRPr="00BA3230" w:rsidRDefault="000B5EBC" w:rsidP="00A641B0">
      <w:pPr>
        <w:spacing w:line="240" w:lineRule="auto"/>
        <w:jc w:val="center"/>
        <w:rPr>
          <w:rFonts w:ascii="Arial" w:hAnsi="Arial" w:cs="Arial"/>
          <w:b/>
        </w:rPr>
      </w:pPr>
    </w:p>
    <w:p w14:paraId="5947E8DD" w14:textId="77777777" w:rsidR="000B5EBC" w:rsidRPr="005F616B" w:rsidRDefault="000B5EBC" w:rsidP="000B52F1">
      <w:pPr>
        <w:spacing w:line="240" w:lineRule="auto"/>
        <w:rPr>
          <w:rFonts w:ascii="Arial" w:hAnsi="Arial" w:cs="Arial"/>
          <w:b/>
        </w:rPr>
      </w:pPr>
    </w:p>
    <w:p w14:paraId="6914775C" w14:textId="04DF701F" w:rsidR="00951EAD" w:rsidRDefault="008C1D9D" w:rsidP="00951EAD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Prospective Proposers</w:t>
      </w:r>
      <w:r w:rsidR="00CC28D6">
        <w:rPr>
          <w:rFonts w:ascii="Arial" w:hAnsi="Arial" w:cs="Arial"/>
          <w:b/>
          <w:u w:val="single"/>
        </w:rPr>
        <w:t xml:space="preserve"> i</w:t>
      </w:r>
      <w:r w:rsidR="00951EAD" w:rsidRPr="00335DD3">
        <w:rPr>
          <w:rFonts w:ascii="Arial" w:hAnsi="Arial" w:cs="Arial"/>
          <w:b/>
          <w:u w:val="single"/>
        </w:rPr>
        <w:t>n Attendance:</w:t>
      </w:r>
    </w:p>
    <w:p w14:paraId="381DF463" w14:textId="03E33B3F" w:rsidR="004311FA" w:rsidRDefault="003F6988" w:rsidP="00951E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Segal Waters Consulting </w:t>
      </w:r>
    </w:p>
    <w:p w14:paraId="3F649430" w14:textId="7E25EADA" w:rsidR="003F6988" w:rsidRDefault="00A307D3" w:rsidP="00951E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Deloitte C</w:t>
      </w:r>
      <w:r w:rsidR="003F6988">
        <w:rPr>
          <w:rFonts w:ascii="Arial" w:hAnsi="Arial" w:cs="Arial"/>
        </w:rPr>
        <w:t>onsulting LLP</w:t>
      </w:r>
    </w:p>
    <w:p w14:paraId="0C17D306" w14:textId="18C32595" w:rsidR="00A308D4" w:rsidRPr="003F6988" w:rsidRDefault="00A308D4" w:rsidP="00951E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F&amp;H Solutions Group</w:t>
      </w:r>
    </w:p>
    <w:p w14:paraId="70A04525" w14:textId="0FF44C6C" w:rsidR="00EE74B7" w:rsidRDefault="00EE74B7" w:rsidP="004A1B2A">
      <w:pPr>
        <w:spacing w:line="240" w:lineRule="auto"/>
      </w:pPr>
    </w:p>
    <w:p w14:paraId="1297B520" w14:textId="77777777" w:rsidR="00511C1E" w:rsidRPr="00335DD3" w:rsidRDefault="00511C1E" w:rsidP="004A1B2A">
      <w:pPr>
        <w:spacing w:line="240" w:lineRule="auto"/>
        <w:rPr>
          <w:rFonts w:ascii="Arial" w:hAnsi="Arial" w:cs="Arial"/>
          <w:b/>
          <w:u w:val="single"/>
        </w:rPr>
      </w:pPr>
    </w:p>
    <w:p w14:paraId="36BD581A" w14:textId="4E52B35E" w:rsidR="000B5EBC" w:rsidRDefault="000B5EBC" w:rsidP="004A1B2A">
      <w:pPr>
        <w:spacing w:line="240" w:lineRule="auto"/>
        <w:rPr>
          <w:rFonts w:ascii="Arial" w:hAnsi="Arial" w:cs="Arial"/>
          <w:b/>
        </w:rPr>
      </w:pPr>
      <w:r w:rsidRPr="00335DD3">
        <w:rPr>
          <w:rFonts w:ascii="Arial" w:hAnsi="Arial" w:cs="Arial"/>
          <w:b/>
          <w:u w:val="single"/>
        </w:rPr>
        <w:t>General Items</w:t>
      </w:r>
      <w:r w:rsidRPr="00335DD3">
        <w:rPr>
          <w:rFonts w:ascii="Arial" w:hAnsi="Arial" w:cs="Arial"/>
          <w:b/>
        </w:rPr>
        <w:t xml:space="preserve">:  </w:t>
      </w:r>
    </w:p>
    <w:p w14:paraId="55B7FF9A" w14:textId="71A3B57F" w:rsidR="00234B4F" w:rsidRPr="00234B4F" w:rsidRDefault="00234B4F" w:rsidP="00234B4F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97049F">
        <w:rPr>
          <w:rFonts w:ascii="Arial" w:hAnsi="Arial" w:cs="Arial"/>
        </w:rPr>
        <w:t>The dates in Section 2, Schedule of Events, were re-iterated and Proposers were reminded that all Proposals must be submit</w:t>
      </w:r>
      <w:r>
        <w:rPr>
          <w:rFonts w:ascii="Arial" w:hAnsi="Arial" w:cs="Arial"/>
        </w:rPr>
        <w:t xml:space="preserve">ted no later than 2:00pm CT on </w:t>
      </w:r>
      <w:r w:rsidR="00951AB7">
        <w:rPr>
          <w:rFonts w:ascii="Arial" w:hAnsi="Arial" w:cs="Arial"/>
        </w:rPr>
        <w:t>10/06</w:t>
      </w:r>
      <w:r>
        <w:rPr>
          <w:rFonts w:ascii="Arial" w:hAnsi="Arial" w:cs="Arial"/>
        </w:rPr>
        <w:t>/17</w:t>
      </w:r>
      <w:r w:rsidRPr="0097049F">
        <w:rPr>
          <w:rFonts w:ascii="Arial" w:hAnsi="Arial" w:cs="Arial"/>
        </w:rPr>
        <w:t xml:space="preserve"> in order to be considered.  Late Proposals cannot be accepted and shall be rejected as non-responsive. Proposers were also encouraged t</w:t>
      </w:r>
      <w:r>
        <w:rPr>
          <w:rFonts w:ascii="Arial" w:hAnsi="Arial" w:cs="Arial"/>
        </w:rPr>
        <w:t>o closely review Attachment 6.12</w:t>
      </w:r>
      <w:r w:rsidRPr="0097049F">
        <w:rPr>
          <w:rFonts w:ascii="Arial" w:hAnsi="Arial" w:cs="Arial"/>
        </w:rPr>
        <w:t xml:space="preserve">, Vendor Checklist for Prevention of Common RFP Mistakes that Lead to Proposal Rejection. Failure to provide/meet the mandatory requirements </w:t>
      </w:r>
      <w:r w:rsidRPr="00E74A97">
        <w:rPr>
          <w:rFonts w:ascii="Arial" w:hAnsi="Arial" w:cs="Arial"/>
          <w:b/>
          <w:u w:val="single"/>
        </w:rPr>
        <w:t>in the format as specified in the RFP</w:t>
      </w:r>
      <w:r w:rsidRPr="0097049F">
        <w:rPr>
          <w:rFonts w:ascii="Arial" w:hAnsi="Arial" w:cs="Arial"/>
        </w:rPr>
        <w:t>, will be cause for proposal rejection by the TBR System Office (hereinafter TBR).</w:t>
      </w:r>
    </w:p>
    <w:p w14:paraId="6F35B198" w14:textId="672833F6" w:rsidR="00561AD6" w:rsidRDefault="00561AD6" w:rsidP="004A1B2A">
      <w:pPr>
        <w:spacing w:line="240" w:lineRule="auto"/>
        <w:rPr>
          <w:rFonts w:ascii="Arial" w:hAnsi="Arial" w:cs="Arial"/>
          <w:b/>
        </w:rPr>
      </w:pPr>
    </w:p>
    <w:p w14:paraId="0C5E4434" w14:textId="77777777" w:rsidR="00A307D3" w:rsidRPr="00335DD3" w:rsidRDefault="00A307D3" w:rsidP="004A1B2A">
      <w:pPr>
        <w:spacing w:line="240" w:lineRule="auto"/>
        <w:rPr>
          <w:rFonts w:ascii="Arial" w:hAnsi="Arial" w:cs="Arial"/>
          <w:b/>
        </w:rPr>
      </w:pPr>
    </w:p>
    <w:p w14:paraId="3BBCBD1C" w14:textId="77777777" w:rsidR="004C1F41" w:rsidRPr="00335DD3" w:rsidRDefault="004C1F41" w:rsidP="004A1B2A">
      <w:pPr>
        <w:pStyle w:val="Header"/>
        <w:rPr>
          <w:rFonts w:cs="Arial"/>
          <w:sz w:val="22"/>
          <w:szCs w:val="22"/>
          <w:u w:val="single"/>
        </w:rPr>
      </w:pPr>
      <w:r w:rsidRPr="00335DD3">
        <w:rPr>
          <w:rFonts w:cs="Arial"/>
          <w:b/>
          <w:sz w:val="22"/>
          <w:szCs w:val="22"/>
          <w:u w:val="single"/>
        </w:rPr>
        <w:t>Proposer Questions</w:t>
      </w:r>
      <w:r w:rsidRPr="00335DD3">
        <w:rPr>
          <w:rFonts w:cs="Arial"/>
          <w:sz w:val="22"/>
          <w:szCs w:val="22"/>
          <w:u w:val="single"/>
        </w:rPr>
        <w:t>:</w:t>
      </w:r>
    </w:p>
    <w:p w14:paraId="52AFBEE7" w14:textId="77777777" w:rsidR="00EF6052" w:rsidRPr="00335DD3" w:rsidRDefault="00EF6052" w:rsidP="004A1B2A">
      <w:pPr>
        <w:pStyle w:val="Header"/>
        <w:rPr>
          <w:rFonts w:cs="Arial"/>
          <w:sz w:val="22"/>
          <w:szCs w:val="22"/>
          <w:u w:val="single"/>
        </w:rPr>
      </w:pPr>
    </w:p>
    <w:p w14:paraId="26B53E17" w14:textId="711430E6" w:rsidR="00371010" w:rsidRDefault="00EF6052" w:rsidP="003C505C">
      <w:pPr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>Question #1:</w:t>
      </w:r>
      <w:r w:rsidR="00951AB7">
        <w:rPr>
          <w:rFonts w:ascii="Arial" w:hAnsi="Arial" w:cs="Arial"/>
          <w:bCs/>
        </w:rPr>
        <w:t xml:space="preserve"> The study appears to cover an estimated 171 positions. Please define the following</w:t>
      </w:r>
      <w:r w:rsidR="004049AE">
        <w:rPr>
          <w:rFonts w:ascii="Arial" w:hAnsi="Arial" w:cs="Arial"/>
          <w:bCs/>
        </w:rPr>
        <w:t xml:space="preserve"> for the population of the employees covered by the study: </w:t>
      </w:r>
    </w:p>
    <w:p w14:paraId="2EA4E3F0" w14:textId="77777777" w:rsidR="004049AE" w:rsidRDefault="004049AE" w:rsidP="003C505C">
      <w:pPr>
        <w:rPr>
          <w:rFonts w:ascii="Arial" w:hAnsi="Arial" w:cs="Arial"/>
          <w:bCs/>
        </w:rPr>
      </w:pPr>
    </w:p>
    <w:p w14:paraId="50EB015F" w14:textId="207AD1A5" w:rsidR="000E3C2E" w:rsidRPr="000029A8" w:rsidRDefault="004049AE" w:rsidP="000029A8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Number of employees in the positions covered by the study</w:t>
      </w:r>
    </w:p>
    <w:p w14:paraId="34F00E0E" w14:textId="21DEBEA7" w:rsidR="00341919" w:rsidRPr="000029A8" w:rsidRDefault="004049AE" w:rsidP="000029A8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Number of distinct salary ranges used to manage pay for the positions covered by the study.</w:t>
      </w:r>
    </w:p>
    <w:p w14:paraId="6E4C6E31" w14:textId="23566F9C" w:rsidR="004049AE" w:rsidRDefault="004049AE" w:rsidP="000029A8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extent to which a position included in the study covers multiple employee levels (for example, Administrative Assistant I, Administrative Assistant II, Administrative Assistant III, etc.)</w:t>
      </w:r>
    </w:p>
    <w:p w14:paraId="3BC9A059" w14:textId="580D1261" w:rsidR="00631CDD" w:rsidRPr="00956A65" w:rsidRDefault="00631CDD" w:rsidP="000029A8">
      <w:pPr>
        <w:spacing w:line="240" w:lineRule="auto"/>
        <w:rPr>
          <w:rFonts w:ascii="Arial" w:hAnsi="Arial" w:cs="Arial"/>
          <w:bCs/>
        </w:rPr>
      </w:pPr>
    </w:p>
    <w:p w14:paraId="0E4B2780" w14:textId="491A658E" w:rsidR="007E3D41" w:rsidRDefault="00E26FAD" w:rsidP="00341919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E26FAD">
        <w:rPr>
          <w:rFonts w:ascii="Arial" w:hAnsi="Arial" w:cs="Arial"/>
        </w:rPr>
        <w:t>Response</w:t>
      </w:r>
      <w:r w:rsidRPr="00956A65">
        <w:rPr>
          <w:rFonts w:ascii="Arial" w:hAnsi="Arial" w:cs="Arial"/>
          <w:bCs/>
        </w:rPr>
        <w:t xml:space="preserve">: </w:t>
      </w:r>
      <w:r w:rsidR="00341919">
        <w:rPr>
          <w:rFonts w:ascii="Arial" w:hAnsi="Arial" w:cs="Arial"/>
          <w:bCs/>
        </w:rPr>
        <w:t xml:space="preserve"> </w:t>
      </w:r>
      <w:r w:rsidR="000029A8">
        <w:rPr>
          <w:rFonts w:ascii="Arial" w:hAnsi="Arial" w:cs="Arial"/>
          <w:bCs/>
        </w:rPr>
        <w:t>a) Approximately 171</w:t>
      </w:r>
    </w:p>
    <w:p w14:paraId="4AECA6CA" w14:textId="470396A1" w:rsidR="000029A8" w:rsidRDefault="000029A8" w:rsidP="00341919">
      <w:pPr>
        <w:pBdr>
          <w:bottom w:val="single" w:sz="12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 b) Currently there are 2 pay structures:  1 for staff = 16 salary ranges; 1 for</w:t>
      </w:r>
    </w:p>
    <w:p w14:paraId="24CB0C55" w14:textId="428A6662" w:rsidR="000029A8" w:rsidRDefault="000029A8" w:rsidP="000029A8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executives and presidents = 19 salary ranges</w:t>
      </w:r>
    </w:p>
    <w:p w14:paraId="73982183" w14:textId="77777777" w:rsidR="000029A8" w:rsidRDefault="000029A8" w:rsidP="000029A8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c) Those are distinct positions and each is included separate in the overall count of </w:t>
      </w:r>
    </w:p>
    <w:p w14:paraId="0B50CA1E" w14:textId="6BB34939" w:rsidR="000029A8" w:rsidRDefault="000029A8" w:rsidP="000029A8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171.</w:t>
      </w:r>
    </w:p>
    <w:p w14:paraId="3E567604" w14:textId="77777777" w:rsidR="000029A8" w:rsidRPr="007E3D41" w:rsidRDefault="000029A8" w:rsidP="00341919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0B00C0D6" w14:textId="40836AC9" w:rsidR="00093A0B" w:rsidRDefault="00D102A1" w:rsidP="004049AE">
      <w:pPr>
        <w:pStyle w:val="BListLevel1"/>
        <w:numPr>
          <w:ilvl w:val="0"/>
          <w:numId w:val="0"/>
        </w:numPr>
        <w:spacing w:after="0" w:line="240" w:lineRule="auto"/>
        <w:rPr>
          <w:rFonts w:ascii="Arial" w:eastAsiaTheme="minorHAnsi" w:hAnsi="Arial" w:cs="Arial"/>
          <w:bCs/>
          <w:color w:val="auto"/>
          <w:kern w:val="0"/>
          <w:sz w:val="22"/>
        </w:rPr>
      </w:pPr>
      <w:r w:rsidRPr="00956A65">
        <w:rPr>
          <w:rFonts w:ascii="Arial" w:eastAsiaTheme="minorHAnsi" w:hAnsi="Arial" w:cs="Arial"/>
          <w:bCs/>
          <w:color w:val="auto"/>
          <w:kern w:val="0"/>
          <w:sz w:val="22"/>
        </w:rPr>
        <w:t xml:space="preserve">Question #2: </w:t>
      </w:r>
      <w:r w:rsidR="004049AE" w:rsidRPr="004049AE">
        <w:rPr>
          <w:rFonts w:ascii="Arial" w:eastAsiaTheme="minorHAnsi" w:hAnsi="Arial" w:cs="Arial"/>
          <w:bCs/>
          <w:color w:val="auto"/>
          <w:kern w:val="0"/>
          <w:sz w:val="22"/>
        </w:rPr>
        <w:t>To address what appears to be noted as potential additions to the compensation study as noted in the General Requirements section of the RFP, please confirm:</w:t>
      </w:r>
    </w:p>
    <w:p w14:paraId="701FA5C5" w14:textId="77777777" w:rsidR="004049AE" w:rsidRPr="004049AE" w:rsidRDefault="004049AE" w:rsidP="004049AE">
      <w:pPr>
        <w:pStyle w:val="BListLevel1"/>
        <w:numPr>
          <w:ilvl w:val="0"/>
          <w:numId w:val="0"/>
        </w:numPr>
        <w:spacing w:after="0" w:line="240" w:lineRule="auto"/>
        <w:rPr>
          <w:rFonts w:ascii="Arial" w:eastAsiaTheme="minorHAnsi" w:hAnsi="Arial" w:cs="Arial"/>
          <w:bCs/>
          <w:color w:val="auto"/>
          <w:kern w:val="0"/>
          <w:sz w:val="22"/>
        </w:rPr>
      </w:pPr>
    </w:p>
    <w:p w14:paraId="2952D921" w14:textId="468955E0" w:rsidR="003C505C" w:rsidRDefault="004049AE" w:rsidP="000029A8">
      <w:pPr>
        <w:pStyle w:val="BListLevel1"/>
        <w:numPr>
          <w:ilvl w:val="0"/>
          <w:numId w:val="24"/>
        </w:numPr>
        <w:spacing w:after="0" w:line="240" w:lineRule="auto"/>
        <w:rPr>
          <w:rFonts w:ascii="Arial" w:eastAsiaTheme="minorHAnsi" w:hAnsi="Arial" w:cs="Arial"/>
          <w:bCs/>
          <w:color w:val="auto"/>
          <w:kern w:val="0"/>
          <w:sz w:val="22"/>
        </w:rPr>
      </w:pPr>
      <w:r>
        <w:rPr>
          <w:rFonts w:ascii="Arial" w:eastAsiaTheme="minorHAnsi" w:hAnsi="Arial" w:cs="Arial"/>
          <w:bCs/>
          <w:color w:val="auto"/>
          <w:kern w:val="0"/>
          <w:sz w:val="22"/>
        </w:rPr>
        <w:t>The number of positions that would be covered for a review of (</w:t>
      </w:r>
      <w:proofErr w:type="spellStart"/>
      <w:r>
        <w:rPr>
          <w:rFonts w:ascii="Arial" w:eastAsiaTheme="minorHAnsi" w:hAnsi="Arial" w:cs="Arial"/>
          <w:bCs/>
          <w:color w:val="auto"/>
          <w:kern w:val="0"/>
          <w:sz w:val="22"/>
        </w:rPr>
        <w:t>i</w:t>
      </w:r>
      <w:proofErr w:type="spellEnd"/>
      <w:r>
        <w:rPr>
          <w:rFonts w:ascii="Arial" w:eastAsiaTheme="minorHAnsi" w:hAnsi="Arial" w:cs="Arial"/>
          <w:bCs/>
          <w:color w:val="auto"/>
          <w:kern w:val="0"/>
          <w:sz w:val="22"/>
        </w:rPr>
        <w:t>) Faculty and Faculty Administrator positions and (ii) staff positions at Colleges of Applied Technology.</w:t>
      </w:r>
    </w:p>
    <w:p w14:paraId="0CAEB157" w14:textId="34267542" w:rsidR="004049AE" w:rsidRDefault="004049AE" w:rsidP="000029A8">
      <w:pPr>
        <w:pStyle w:val="BListLevel1"/>
        <w:numPr>
          <w:ilvl w:val="0"/>
          <w:numId w:val="24"/>
        </w:numPr>
        <w:spacing w:after="0" w:line="240" w:lineRule="auto"/>
        <w:rPr>
          <w:rFonts w:ascii="Arial" w:eastAsiaTheme="minorHAnsi" w:hAnsi="Arial" w:cs="Arial"/>
          <w:bCs/>
          <w:color w:val="auto"/>
          <w:kern w:val="0"/>
          <w:sz w:val="22"/>
        </w:rPr>
      </w:pPr>
      <w:r>
        <w:rPr>
          <w:rFonts w:ascii="Arial" w:eastAsiaTheme="minorHAnsi" w:hAnsi="Arial" w:cs="Arial"/>
          <w:bCs/>
          <w:color w:val="auto"/>
          <w:kern w:val="0"/>
          <w:sz w:val="22"/>
        </w:rPr>
        <w:t>The number of positions that would be covered if a review of FLSA status is requested.</w:t>
      </w:r>
    </w:p>
    <w:p w14:paraId="426D4064" w14:textId="744C06E1" w:rsidR="00341919" w:rsidRDefault="00341919" w:rsidP="00341919">
      <w:pPr>
        <w:pStyle w:val="BListLevel1"/>
        <w:numPr>
          <w:ilvl w:val="0"/>
          <w:numId w:val="0"/>
        </w:numPr>
        <w:spacing w:after="0" w:line="240" w:lineRule="auto"/>
        <w:ind w:left="720"/>
        <w:rPr>
          <w:rFonts w:ascii="Arial" w:eastAsiaTheme="minorHAnsi" w:hAnsi="Arial" w:cs="Arial"/>
          <w:bCs/>
          <w:color w:val="auto"/>
          <w:kern w:val="0"/>
          <w:sz w:val="22"/>
        </w:rPr>
      </w:pPr>
    </w:p>
    <w:p w14:paraId="675039ED" w14:textId="656DDBA5" w:rsidR="00305012" w:rsidRDefault="004C1F41" w:rsidP="000029A8">
      <w:pPr>
        <w:pBdr>
          <w:bottom w:val="single" w:sz="12" w:space="1" w:color="auto"/>
        </w:pBdr>
        <w:spacing w:line="240" w:lineRule="auto"/>
        <w:ind w:left="1350" w:hanging="1350"/>
        <w:contextualSpacing/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lastRenderedPageBreak/>
        <w:t>Response:</w:t>
      </w:r>
      <w:r w:rsidR="0062349F">
        <w:rPr>
          <w:rFonts w:ascii="Arial" w:hAnsi="Arial" w:cs="Arial"/>
          <w:bCs/>
        </w:rPr>
        <w:t xml:space="preserve"> </w:t>
      </w:r>
      <w:r w:rsidR="000029A8">
        <w:rPr>
          <w:rFonts w:ascii="Arial" w:hAnsi="Arial" w:cs="Arial"/>
          <w:bCs/>
        </w:rPr>
        <w:t>a) This would be determined at a later date, based upon which institutions utilize the services.  This Successful Proposer must have the ability to conduct these types of salary comparisons also.</w:t>
      </w:r>
    </w:p>
    <w:p w14:paraId="692EB364" w14:textId="3FA4F4D8" w:rsidR="000029A8" w:rsidRDefault="000029A8" w:rsidP="00341919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</w:p>
    <w:p w14:paraId="12900AB6" w14:textId="5963D766" w:rsidR="000029A8" w:rsidRDefault="000029A8" w:rsidP="00341919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 b) Same response as Section 2.a) above.</w:t>
      </w:r>
    </w:p>
    <w:p w14:paraId="61159460" w14:textId="77777777" w:rsidR="000029A8" w:rsidRDefault="000029A8" w:rsidP="00341919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</w:p>
    <w:p w14:paraId="43E73E0D" w14:textId="5B72131B" w:rsidR="003C505C" w:rsidRPr="004049AE" w:rsidRDefault="004C1F41" w:rsidP="004049AE">
      <w:pPr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>Question #3:</w:t>
      </w:r>
      <w:r w:rsidR="007E3D41">
        <w:rPr>
          <w:rFonts w:ascii="Arial" w:hAnsi="Arial" w:cs="Arial"/>
          <w:bCs/>
        </w:rPr>
        <w:t xml:space="preserve"> A</w:t>
      </w:r>
      <w:r w:rsidR="004049AE" w:rsidRPr="004049AE">
        <w:rPr>
          <w:rFonts w:ascii="Arial" w:hAnsi="Arial" w:cs="Arial"/>
          <w:bCs/>
        </w:rPr>
        <w:t>re job descriptions available for the positions covered by the study?</w:t>
      </w:r>
    </w:p>
    <w:p w14:paraId="3E07E6BA" w14:textId="2727FB7A" w:rsidR="00093A0B" w:rsidRPr="00956A65" w:rsidRDefault="00D102A1" w:rsidP="003C505C">
      <w:pPr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 xml:space="preserve"> </w:t>
      </w:r>
    </w:p>
    <w:p w14:paraId="1319EDE6" w14:textId="664B51F9" w:rsidR="000B52F1" w:rsidRDefault="00D870F7" w:rsidP="00E26FAD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E26FAD">
        <w:rPr>
          <w:rFonts w:ascii="Arial" w:hAnsi="Arial" w:cs="Arial"/>
        </w:rPr>
        <w:t>R</w:t>
      </w:r>
      <w:r w:rsidR="0063251A" w:rsidRPr="00E26FAD">
        <w:rPr>
          <w:rFonts w:ascii="Arial" w:hAnsi="Arial" w:cs="Arial"/>
        </w:rPr>
        <w:t>esponse</w:t>
      </w:r>
      <w:r w:rsidR="0063251A" w:rsidRPr="00956A65">
        <w:rPr>
          <w:rFonts w:ascii="Arial" w:hAnsi="Arial" w:cs="Arial"/>
          <w:bCs/>
        </w:rPr>
        <w:t>:</w:t>
      </w:r>
      <w:r w:rsidR="00470AF1" w:rsidRPr="00956A65">
        <w:rPr>
          <w:rFonts w:ascii="Arial" w:hAnsi="Arial" w:cs="Arial"/>
          <w:bCs/>
        </w:rPr>
        <w:t xml:space="preserve"> </w:t>
      </w:r>
      <w:r w:rsidR="00341919" w:rsidRPr="00341919">
        <w:rPr>
          <w:rFonts w:ascii="Arial" w:hAnsi="Arial" w:cs="Arial"/>
          <w:bCs/>
        </w:rPr>
        <w:t>Yes</w:t>
      </w:r>
    </w:p>
    <w:p w14:paraId="7294A933" w14:textId="77777777" w:rsidR="000029A8" w:rsidRPr="00956A65" w:rsidRDefault="000029A8" w:rsidP="00E26FA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0C85DAB2" w14:textId="298BDF4B" w:rsidR="00371010" w:rsidRPr="00956A65" w:rsidRDefault="004C1F41" w:rsidP="004A1B2A">
      <w:pPr>
        <w:spacing w:line="240" w:lineRule="auto"/>
        <w:rPr>
          <w:rFonts w:ascii="Arial" w:eastAsia="Calibri" w:hAnsi="Arial" w:cs="Arial"/>
        </w:rPr>
      </w:pPr>
      <w:r w:rsidRPr="00956A65">
        <w:rPr>
          <w:rFonts w:ascii="Arial" w:hAnsi="Arial" w:cs="Arial"/>
          <w:bCs/>
        </w:rPr>
        <w:t>Question #4:</w:t>
      </w:r>
      <w:r w:rsidR="007E3D41">
        <w:rPr>
          <w:rFonts w:ascii="Arial" w:hAnsi="Arial" w:cs="Arial"/>
          <w:bCs/>
        </w:rPr>
        <w:t xml:space="preserve"> </w:t>
      </w:r>
      <w:r w:rsidR="004049AE" w:rsidRPr="004049AE">
        <w:rPr>
          <w:rFonts w:ascii="Arial" w:hAnsi="Arial" w:cs="Arial"/>
          <w:bCs/>
        </w:rPr>
        <w:t>Are any of the positions covered by the study also covered by a union contract?</w:t>
      </w:r>
    </w:p>
    <w:p w14:paraId="1C00D3E5" w14:textId="77777777" w:rsidR="00371010" w:rsidRPr="00956A65" w:rsidRDefault="00371010" w:rsidP="004A1B2A">
      <w:pPr>
        <w:spacing w:line="240" w:lineRule="auto"/>
        <w:rPr>
          <w:rFonts w:ascii="Arial" w:eastAsia="Calibri" w:hAnsi="Arial" w:cs="Arial"/>
        </w:rPr>
      </w:pPr>
    </w:p>
    <w:p w14:paraId="6F34D484" w14:textId="4C2C115F" w:rsidR="0020724F" w:rsidRDefault="004C1F41" w:rsidP="003C505C">
      <w:pPr>
        <w:pBdr>
          <w:bottom w:val="single" w:sz="12" w:space="1" w:color="auto"/>
        </w:pBdr>
        <w:spacing w:line="240" w:lineRule="auto"/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>Response:</w:t>
      </w:r>
      <w:r w:rsidR="00335DD3" w:rsidRPr="00956A65">
        <w:rPr>
          <w:rFonts w:ascii="Arial" w:hAnsi="Arial" w:cs="Arial"/>
          <w:bCs/>
        </w:rPr>
        <w:t xml:space="preserve">  </w:t>
      </w:r>
      <w:r w:rsidR="00341919">
        <w:rPr>
          <w:rFonts w:ascii="Arial" w:hAnsi="Arial" w:cs="Arial"/>
          <w:bCs/>
        </w:rPr>
        <w:t>No</w:t>
      </w:r>
    </w:p>
    <w:p w14:paraId="51A34F7D" w14:textId="77777777" w:rsidR="000029A8" w:rsidRPr="00956A65" w:rsidRDefault="000029A8" w:rsidP="003C505C">
      <w:pPr>
        <w:pBdr>
          <w:bottom w:val="single" w:sz="12" w:space="1" w:color="auto"/>
        </w:pBdr>
        <w:spacing w:line="240" w:lineRule="auto"/>
        <w:rPr>
          <w:rFonts w:ascii="Arial" w:hAnsi="Arial" w:cs="Arial"/>
          <w:bCs/>
        </w:rPr>
      </w:pPr>
    </w:p>
    <w:p w14:paraId="5285EE67" w14:textId="760210F1" w:rsidR="00044068" w:rsidRPr="00956A65" w:rsidRDefault="0020724F" w:rsidP="0020724F">
      <w:pPr>
        <w:rPr>
          <w:rFonts w:ascii="Arial" w:hAnsi="Arial" w:cs="Arial"/>
        </w:rPr>
      </w:pPr>
      <w:r w:rsidRPr="00956A65">
        <w:rPr>
          <w:rFonts w:ascii="Arial" w:hAnsi="Arial" w:cs="Arial"/>
        </w:rPr>
        <w:t>Question #5:</w:t>
      </w:r>
      <w:r w:rsidR="00044068" w:rsidRPr="00956A65">
        <w:rPr>
          <w:rFonts w:ascii="Arial" w:hAnsi="Arial" w:cs="Arial"/>
        </w:rPr>
        <w:t xml:space="preserve"> </w:t>
      </w:r>
      <w:r w:rsidR="007E3D41" w:rsidRPr="007E3D41">
        <w:rPr>
          <w:rFonts w:ascii="Arial" w:hAnsi="Arial" w:cs="Arial"/>
        </w:rPr>
        <w:t>Please confirm the type of peer organizations and industry benchmarks that TBR would prefer or require be included in the compensation study (e.g., similar higher education institutions, public/government, general industry, etc.)</w:t>
      </w:r>
    </w:p>
    <w:p w14:paraId="56882517" w14:textId="4003BEEB" w:rsidR="0020724F" w:rsidRPr="00956A65" w:rsidRDefault="0020724F" w:rsidP="0020724F">
      <w:pPr>
        <w:rPr>
          <w:rFonts w:ascii="Arial" w:hAnsi="Arial" w:cs="Arial"/>
        </w:rPr>
      </w:pPr>
    </w:p>
    <w:p w14:paraId="6AC015DC" w14:textId="012D506C" w:rsidR="0020724F" w:rsidRDefault="0020724F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341919" w:rsidRPr="00341919">
        <w:rPr>
          <w:rFonts w:ascii="Arial" w:hAnsi="Arial" w:cs="Arial"/>
        </w:rPr>
        <w:t>Similar higher education, where applicable.  Some positions may need public/gov</w:t>
      </w:r>
      <w:r w:rsidR="00341919">
        <w:rPr>
          <w:rFonts w:ascii="Arial" w:hAnsi="Arial" w:cs="Arial"/>
        </w:rPr>
        <w:t>ernment</w:t>
      </w:r>
      <w:r w:rsidR="00341919" w:rsidRPr="00341919">
        <w:rPr>
          <w:rFonts w:ascii="Arial" w:hAnsi="Arial" w:cs="Arial"/>
        </w:rPr>
        <w:t xml:space="preserve"> if enough comparisons don’t exist within the higher ed</w:t>
      </w:r>
      <w:r w:rsidR="00341919">
        <w:rPr>
          <w:rFonts w:ascii="Arial" w:hAnsi="Arial" w:cs="Arial"/>
        </w:rPr>
        <w:t>ucation</w:t>
      </w:r>
      <w:r w:rsidR="00341919" w:rsidRPr="00341919">
        <w:rPr>
          <w:rFonts w:ascii="Arial" w:hAnsi="Arial" w:cs="Arial"/>
        </w:rPr>
        <w:t xml:space="preserve"> setting.</w:t>
      </w:r>
    </w:p>
    <w:p w14:paraId="4272E2D3" w14:textId="77777777" w:rsidR="000029A8" w:rsidRPr="00956A65" w:rsidRDefault="000029A8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36210180" w14:textId="19E44EED" w:rsidR="00956A65" w:rsidRDefault="0020724F" w:rsidP="007E3D41">
      <w:pPr>
        <w:rPr>
          <w:rFonts w:ascii="Arial" w:hAnsi="Arial" w:cs="Arial"/>
        </w:rPr>
      </w:pPr>
      <w:r w:rsidRPr="00956A65">
        <w:rPr>
          <w:rFonts w:ascii="Arial" w:hAnsi="Arial" w:cs="Arial"/>
        </w:rPr>
        <w:t>Question #6:</w:t>
      </w:r>
      <w:r w:rsidR="00044068" w:rsidRPr="00956A65">
        <w:rPr>
          <w:rFonts w:ascii="Arial" w:hAnsi="Arial" w:cs="Arial"/>
        </w:rPr>
        <w:t xml:space="preserve"> </w:t>
      </w:r>
      <w:r w:rsidR="007E3D41" w:rsidRPr="007E3D41">
        <w:rPr>
          <w:rFonts w:ascii="Arial" w:hAnsi="Arial" w:cs="Arial"/>
        </w:rPr>
        <w:t>Does T</w:t>
      </w:r>
      <w:r w:rsidR="0080671A">
        <w:rPr>
          <w:rFonts w:ascii="Arial" w:hAnsi="Arial" w:cs="Arial"/>
        </w:rPr>
        <w:t>BR intend to provide the Successful Proposer</w:t>
      </w:r>
      <w:r w:rsidR="007E3D41" w:rsidRPr="007E3D41">
        <w:rPr>
          <w:rFonts w:ascii="Arial" w:hAnsi="Arial" w:cs="Arial"/>
        </w:rPr>
        <w:t xml:space="preserve"> with any proprietary survey data for the study?</w:t>
      </w:r>
    </w:p>
    <w:p w14:paraId="30BFD66B" w14:textId="4A918A62" w:rsidR="000029A8" w:rsidRPr="007E3D41" w:rsidRDefault="000029A8" w:rsidP="007E3D41">
      <w:pPr>
        <w:rPr>
          <w:rFonts w:ascii="Arial" w:hAnsi="Arial" w:cs="Arial"/>
        </w:rPr>
      </w:pPr>
    </w:p>
    <w:p w14:paraId="2B435A40" w14:textId="4C769E54" w:rsidR="00956A65" w:rsidRDefault="00956A65" w:rsidP="00956A65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341919">
        <w:rPr>
          <w:rFonts w:ascii="Arial" w:hAnsi="Arial" w:cs="Arial"/>
        </w:rPr>
        <w:t>No</w:t>
      </w:r>
    </w:p>
    <w:p w14:paraId="7DA4D65A" w14:textId="77777777" w:rsidR="000029A8" w:rsidRPr="00956A65" w:rsidRDefault="000029A8" w:rsidP="00956A65">
      <w:pPr>
        <w:pBdr>
          <w:bottom w:val="single" w:sz="12" w:space="1" w:color="auto"/>
        </w:pBdr>
        <w:rPr>
          <w:rFonts w:ascii="Arial" w:hAnsi="Arial" w:cs="Arial"/>
        </w:rPr>
      </w:pPr>
    </w:p>
    <w:p w14:paraId="73FCC1AC" w14:textId="1C7C11FF" w:rsidR="0020724F" w:rsidRDefault="0020724F" w:rsidP="0020724F">
      <w:pPr>
        <w:rPr>
          <w:rFonts w:ascii="Arial" w:hAnsi="Arial" w:cs="Arial"/>
        </w:rPr>
      </w:pPr>
      <w:r w:rsidRPr="00956A65">
        <w:rPr>
          <w:rFonts w:ascii="Arial" w:hAnsi="Arial" w:cs="Arial"/>
        </w:rPr>
        <w:t>Question #7:</w:t>
      </w:r>
      <w:r w:rsidR="00044068" w:rsidRPr="00956A65">
        <w:rPr>
          <w:rFonts w:ascii="Arial" w:hAnsi="Arial" w:cs="Arial"/>
        </w:rPr>
        <w:t xml:space="preserve"> </w:t>
      </w:r>
      <w:r w:rsidR="007E3D41" w:rsidRPr="007E3D41">
        <w:rPr>
          <w:rFonts w:ascii="Arial" w:hAnsi="Arial" w:cs="Arial"/>
        </w:rPr>
        <w:t>Confirm the TBR audience to which the finding and recommendations need to be presented.</w:t>
      </w:r>
    </w:p>
    <w:p w14:paraId="5ECB1CBB" w14:textId="77777777" w:rsidR="007E3D41" w:rsidRPr="00956A65" w:rsidRDefault="007E3D41" w:rsidP="0020724F">
      <w:pPr>
        <w:rPr>
          <w:rFonts w:ascii="Arial" w:hAnsi="Arial" w:cs="Arial"/>
        </w:rPr>
      </w:pPr>
    </w:p>
    <w:p w14:paraId="61D4483D" w14:textId="37C032BB" w:rsidR="0020724F" w:rsidRDefault="0020724F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341919" w:rsidRPr="00341919">
        <w:rPr>
          <w:rFonts w:ascii="Arial" w:hAnsi="Arial" w:cs="Arial"/>
        </w:rPr>
        <w:t xml:space="preserve">To Human Resources staff, the </w:t>
      </w:r>
      <w:r w:rsidR="000E3C2E">
        <w:rPr>
          <w:rFonts w:ascii="Arial" w:hAnsi="Arial" w:cs="Arial"/>
        </w:rPr>
        <w:t>C</w:t>
      </w:r>
      <w:r w:rsidR="00341919" w:rsidRPr="00341919">
        <w:rPr>
          <w:rFonts w:ascii="Arial" w:hAnsi="Arial" w:cs="Arial"/>
        </w:rPr>
        <w:t xml:space="preserve">ompensation </w:t>
      </w:r>
      <w:r w:rsidR="000E3C2E">
        <w:rPr>
          <w:rFonts w:ascii="Arial" w:hAnsi="Arial" w:cs="Arial"/>
        </w:rPr>
        <w:t>C</w:t>
      </w:r>
      <w:r w:rsidR="00341919" w:rsidRPr="00341919">
        <w:rPr>
          <w:rFonts w:ascii="Arial" w:hAnsi="Arial" w:cs="Arial"/>
        </w:rPr>
        <w:t>ommittee, Chancellor &amp; S</w:t>
      </w:r>
      <w:r w:rsidR="000E3C2E">
        <w:rPr>
          <w:rFonts w:ascii="Arial" w:hAnsi="Arial" w:cs="Arial"/>
        </w:rPr>
        <w:t>enior</w:t>
      </w:r>
      <w:r w:rsidR="00341919" w:rsidRPr="00341919">
        <w:rPr>
          <w:rFonts w:ascii="Arial" w:hAnsi="Arial" w:cs="Arial"/>
        </w:rPr>
        <w:t xml:space="preserve"> Staff, and Board Members.</w:t>
      </w:r>
    </w:p>
    <w:p w14:paraId="63670979" w14:textId="77777777" w:rsidR="000029A8" w:rsidRPr="00956A65" w:rsidRDefault="000029A8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78489075" w14:textId="196CBAD0" w:rsidR="003C505C" w:rsidRDefault="00956A65" w:rsidP="0020724F">
      <w:pPr>
        <w:rPr>
          <w:rFonts w:ascii="Arial" w:hAnsi="Arial" w:cs="Arial"/>
        </w:rPr>
      </w:pPr>
      <w:r>
        <w:rPr>
          <w:rFonts w:ascii="Arial" w:hAnsi="Arial" w:cs="Arial"/>
        </w:rPr>
        <w:t>Question #8</w:t>
      </w:r>
      <w:r w:rsidR="007B6CD5" w:rsidRPr="00956A65">
        <w:rPr>
          <w:rFonts w:ascii="Arial" w:hAnsi="Arial" w:cs="Arial"/>
        </w:rPr>
        <w:t xml:space="preserve">: </w:t>
      </w:r>
      <w:r w:rsidR="00A307D3">
        <w:rPr>
          <w:rFonts w:ascii="Arial" w:hAnsi="Arial" w:cs="Arial"/>
        </w:rPr>
        <w:t>Will the Successful Proposer</w:t>
      </w:r>
      <w:r w:rsidR="007E3D41" w:rsidRPr="007E3D41">
        <w:rPr>
          <w:rFonts w:ascii="Arial" w:hAnsi="Arial" w:cs="Arial"/>
        </w:rPr>
        <w:t xml:space="preserve"> be prohibited from using staff that are based and work in India?</w:t>
      </w:r>
    </w:p>
    <w:p w14:paraId="5A8DED50" w14:textId="77777777" w:rsidR="007E3D41" w:rsidRPr="00956A65" w:rsidRDefault="007E3D41" w:rsidP="0020724F">
      <w:pPr>
        <w:rPr>
          <w:rFonts w:ascii="Arial" w:hAnsi="Arial" w:cs="Arial"/>
        </w:rPr>
      </w:pPr>
    </w:p>
    <w:p w14:paraId="0E035127" w14:textId="7427EB45" w:rsidR="007B6CD5" w:rsidRDefault="007B6CD5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>Response:</w:t>
      </w:r>
      <w:r w:rsidR="00E07B6A" w:rsidRPr="00956A65">
        <w:rPr>
          <w:rFonts w:ascii="Arial" w:hAnsi="Arial" w:cs="Arial"/>
        </w:rPr>
        <w:t xml:space="preserve">  </w:t>
      </w:r>
      <w:r w:rsidR="006F44D1">
        <w:rPr>
          <w:rFonts w:ascii="Arial" w:hAnsi="Arial" w:cs="Arial"/>
        </w:rPr>
        <w:t xml:space="preserve">It is preferred that the work be performed with the U.S.; however, if Proposer </w:t>
      </w:r>
      <w:r w:rsidR="0043211C">
        <w:rPr>
          <w:rFonts w:ascii="Arial" w:hAnsi="Arial" w:cs="Arial"/>
        </w:rPr>
        <w:t>has employees located outside the U.S., they may be utilized with the understanding that the Successful Proposer must attend as many on-site meetings/conference calls as requested by the Institution.  Additionally, the Institution will not be responsible for out-of-country phone expenses.</w:t>
      </w:r>
    </w:p>
    <w:p w14:paraId="6392BFC5" w14:textId="77777777" w:rsidR="000029A8" w:rsidRPr="00956A65" w:rsidRDefault="000029A8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784C85EB" w14:textId="5B819772" w:rsidR="007B6CD5" w:rsidRPr="00956A65" w:rsidRDefault="00F1682C" w:rsidP="0020724F">
      <w:pPr>
        <w:rPr>
          <w:rFonts w:ascii="Arial" w:hAnsi="Arial" w:cs="Arial"/>
        </w:rPr>
      </w:pPr>
      <w:r>
        <w:rPr>
          <w:rFonts w:ascii="Arial" w:hAnsi="Arial" w:cs="Arial"/>
        </w:rPr>
        <w:t>Question #9</w:t>
      </w:r>
      <w:r w:rsidR="007B6CD5" w:rsidRPr="00956A65">
        <w:rPr>
          <w:rFonts w:ascii="Arial" w:hAnsi="Arial" w:cs="Arial"/>
        </w:rPr>
        <w:t xml:space="preserve">: </w:t>
      </w:r>
      <w:r w:rsidR="007E3D41" w:rsidRPr="007E3D41">
        <w:rPr>
          <w:rFonts w:ascii="Arial" w:hAnsi="Arial" w:cs="Arial"/>
        </w:rPr>
        <w:t>Confirm the desired start and completion dates for the project.</w:t>
      </w:r>
    </w:p>
    <w:p w14:paraId="5FE7CE03" w14:textId="5AD7325D" w:rsidR="007B6CD5" w:rsidRPr="00956A65" w:rsidRDefault="007B6CD5" w:rsidP="0020724F">
      <w:pPr>
        <w:rPr>
          <w:rFonts w:ascii="Arial" w:hAnsi="Arial" w:cs="Arial"/>
        </w:rPr>
      </w:pPr>
    </w:p>
    <w:p w14:paraId="0CB3FB7F" w14:textId="0FD3DBA9" w:rsidR="007B6CD5" w:rsidRDefault="007B6CD5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015559" w:rsidRPr="00956A65">
        <w:rPr>
          <w:rFonts w:ascii="Arial" w:hAnsi="Arial" w:cs="Arial"/>
        </w:rPr>
        <w:t xml:space="preserve"> </w:t>
      </w:r>
      <w:r w:rsidR="00341919" w:rsidRPr="00341919">
        <w:rPr>
          <w:rFonts w:ascii="Arial" w:hAnsi="Arial" w:cs="Arial"/>
        </w:rPr>
        <w:t>Summer 2018 – December 2018 - exact dates TBD</w:t>
      </w:r>
    </w:p>
    <w:p w14:paraId="4D9EACDF" w14:textId="77777777" w:rsidR="000029A8" w:rsidRPr="00956A65" w:rsidRDefault="000029A8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5A7A2905" w14:textId="237E90BF" w:rsidR="007B6CD5" w:rsidRDefault="00F1682C" w:rsidP="0020724F">
      <w:pPr>
        <w:rPr>
          <w:rFonts w:ascii="Arial" w:hAnsi="Arial" w:cs="Arial"/>
        </w:rPr>
      </w:pPr>
      <w:r>
        <w:rPr>
          <w:rFonts w:ascii="Arial" w:hAnsi="Arial" w:cs="Arial"/>
        </w:rPr>
        <w:t>Question #10</w:t>
      </w:r>
      <w:r w:rsidR="007B6CD5" w:rsidRPr="00956A65">
        <w:rPr>
          <w:rFonts w:ascii="Arial" w:hAnsi="Arial" w:cs="Arial"/>
        </w:rPr>
        <w:t xml:space="preserve">: </w:t>
      </w:r>
      <w:r w:rsidR="007E3D41" w:rsidRPr="007E3D41">
        <w:rPr>
          <w:rFonts w:ascii="Arial" w:hAnsi="Arial" w:cs="Arial"/>
        </w:rPr>
        <w:t>Confirm if training assistance is required as part of implementation.</w:t>
      </w:r>
    </w:p>
    <w:p w14:paraId="4983C21B" w14:textId="77777777" w:rsidR="007E3D41" w:rsidRPr="00956A65" w:rsidRDefault="007E3D41" w:rsidP="0020724F">
      <w:pPr>
        <w:rPr>
          <w:rFonts w:ascii="Arial" w:hAnsi="Arial" w:cs="Arial"/>
        </w:rPr>
      </w:pPr>
    </w:p>
    <w:p w14:paraId="46CFD866" w14:textId="3CF08155" w:rsidR="007469BC" w:rsidRDefault="007B6CD5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341919" w:rsidRPr="00341919">
        <w:rPr>
          <w:rFonts w:ascii="Arial" w:hAnsi="Arial" w:cs="Arial"/>
        </w:rPr>
        <w:t>Not for the initial study for the System Office.  Some</w:t>
      </w:r>
      <w:r w:rsidR="00A307D3">
        <w:rPr>
          <w:rFonts w:ascii="Arial" w:hAnsi="Arial" w:cs="Arial"/>
        </w:rPr>
        <w:t xml:space="preserve"> of the colleges may request it if the Proposer indicates its pricing is extended to the other institutions and they elect to utilize the resulting contract from this RFP.</w:t>
      </w:r>
    </w:p>
    <w:p w14:paraId="719E61A8" w14:textId="77777777" w:rsidR="00A307D3" w:rsidRDefault="00A307D3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773D48AE" w14:textId="503823C5" w:rsidR="007469BC" w:rsidRDefault="007469BC" w:rsidP="00746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#11: </w:t>
      </w:r>
      <w:r w:rsidRPr="007469BC">
        <w:rPr>
          <w:rFonts w:ascii="Arial" w:hAnsi="Arial" w:cs="Arial"/>
        </w:rPr>
        <w:t>Is the definition of “Institution”, for purposes of qualifying eligible references (Attachment 6.4, Section B, paragraph 13), limited t</w:t>
      </w:r>
      <w:r w:rsidR="0080671A">
        <w:rPr>
          <w:rFonts w:ascii="Arial" w:hAnsi="Arial" w:cs="Arial"/>
        </w:rPr>
        <w:t>o current and former TBR System</w:t>
      </w:r>
      <w:r w:rsidRPr="007469BC">
        <w:rPr>
          <w:rFonts w:ascii="Arial" w:hAnsi="Arial" w:cs="Arial"/>
        </w:rPr>
        <w:t xml:space="preserve"> Office employees or does it also include employees of TBR affiliated colleges and universities?</w:t>
      </w:r>
    </w:p>
    <w:p w14:paraId="4395C109" w14:textId="631B5FB1" w:rsidR="007469BC" w:rsidRDefault="007469BC" w:rsidP="007469BC">
      <w:pPr>
        <w:rPr>
          <w:rFonts w:ascii="Arial" w:hAnsi="Arial" w:cs="Arial"/>
        </w:rPr>
      </w:pPr>
    </w:p>
    <w:p w14:paraId="2C32F8F2" w14:textId="5E2842E6" w:rsidR="007469BC" w:rsidRDefault="007469BC" w:rsidP="007469B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112BF2">
        <w:rPr>
          <w:rFonts w:ascii="Arial" w:hAnsi="Arial" w:cs="Arial"/>
        </w:rPr>
        <w:t>This RFP and the reference to “Institution” is only referring to the TBR System Office.  Proposers are given the opportunity, per Item 6 on Attachment 6.3 to ind</w:t>
      </w:r>
      <w:r w:rsidR="00B24B39">
        <w:rPr>
          <w:rFonts w:ascii="Arial" w:hAnsi="Arial" w:cs="Arial"/>
        </w:rPr>
        <w:t>icate if it</w:t>
      </w:r>
      <w:r w:rsidR="003B0D4A">
        <w:rPr>
          <w:rFonts w:ascii="Arial" w:hAnsi="Arial" w:cs="Arial"/>
        </w:rPr>
        <w:t>s</w:t>
      </w:r>
      <w:r w:rsidR="00112BF2">
        <w:rPr>
          <w:rFonts w:ascii="Arial" w:hAnsi="Arial" w:cs="Arial"/>
        </w:rPr>
        <w:t xml:space="preserve"> willing to ext</w:t>
      </w:r>
      <w:r w:rsidR="003B0D4A">
        <w:rPr>
          <w:rFonts w:ascii="Arial" w:hAnsi="Arial" w:cs="Arial"/>
        </w:rPr>
        <w:t>end its</w:t>
      </w:r>
      <w:r w:rsidR="00112BF2">
        <w:rPr>
          <w:rFonts w:ascii="Arial" w:hAnsi="Arial" w:cs="Arial"/>
        </w:rPr>
        <w:t xml:space="preserve"> pricing to our colleges and universities, as well as the University of Tennessee System and State of Tennessee Departments.</w:t>
      </w:r>
      <w:bookmarkStart w:id="0" w:name="_GoBack"/>
      <w:bookmarkEnd w:id="0"/>
    </w:p>
    <w:p w14:paraId="499B5390" w14:textId="77777777" w:rsidR="00A307D3" w:rsidRDefault="00A307D3" w:rsidP="007469BC">
      <w:pPr>
        <w:pBdr>
          <w:bottom w:val="single" w:sz="12" w:space="1" w:color="auto"/>
        </w:pBdr>
        <w:rPr>
          <w:rFonts w:ascii="Arial" w:hAnsi="Arial" w:cs="Arial"/>
        </w:rPr>
      </w:pPr>
    </w:p>
    <w:p w14:paraId="0B60C771" w14:textId="77777777" w:rsidR="007469BC" w:rsidRPr="007469BC" w:rsidRDefault="007469BC" w:rsidP="007469BC">
      <w:pPr>
        <w:rPr>
          <w:rFonts w:ascii="Arial" w:hAnsi="Arial" w:cs="Arial"/>
        </w:rPr>
      </w:pPr>
    </w:p>
    <w:sectPr w:rsidR="007469BC" w:rsidRPr="007469BC" w:rsidSect="0055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8FC"/>
    <w:multiLevelType w:val="hybridMultilevel"/>
    <w:tmpl w:val="3EB404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857F4"/>
    <w:multiLevelType w:val="hybridMultilevel"/>
    <w:tmpl w:val="74A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74ECCA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6E1D"/>
    <w:multiLevelType w:val="hybridMultilevel"/>
    <w:tmpl w:val="36A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726F"/>
    <w:multiLevelType w:val="hybridMultilevel"/>
    <w:tmpl w:val="D832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33CD"/>
    <w:multiLevelType w:val="hybridMultilevel"/>
    <w:tmpl w:val="612E79C0"/>
    <w:lvl w:ilvl="0" w:tplc="1E4C92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9568D"/>
    <w:multiLevelType w:val="hybridMultilevel"/>
    <w:tmpl w:val="42B8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65EC5"/>
    <w:multiLevelType w:val="hybridMultilevel"/>
    <w:tmpl w:val="DF902DE2"/>
    <w:lvl w:ilvl="0" w:tplc="12C69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92198"/>
    <w:multiLevelType w:val="hybridMultilevel"/>
    <w:tmpl w:val="82A0CD1E"/>
    <w:lvl w:ilvl="0" w:tplc="3E9C36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53AC"/>
    <w:multiLevelType w:val="hybridMultilevel"/>
    <w:tmpl w:val="6CB25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21DF"/>
    <w:multiLevelType w:val="hybridMultilevel"/>
    <w:tmpl w:val="2A1CEAD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4FBA4749"/>
    <w:multiLevelType w:val="multilevel"/>
    <w:tmpl w:val="EB92C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2B37BD"/>
    <w:multiLevelType w:val="hybridMultilevel"/>
    <w:tmpl w:val="1CE4A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E32BE"/>
    <w:multiLevelType w:val="hybridMultilevel"/>
    <w:tmpl w:val="8DF44ED2"/>
    <w:lvl w:ilvl="0" w:tplc="F78C5A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66D3ABA"/>
    <w:multiLevelType w:val="hybridMultilevel"/>
    <w:tmpl w:val="D0E801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A9E71A5"/>
    <w:multiLevelType w:val="multilevel"/>
    <w:tmpl w:val="0A6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51228"/>
    <w:multiLevelType w:val="hybridMultilevel"/>
    <w:tmpl w:val="30860274"/>
    <w:lvl w:ilvl="0" w:tplc="9CD0796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0"/>
        </w:tabs>
        <w:ind w:left="2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30"/>
        </w:tabs>
        <w:ind w:left="9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090"/>
        </w:tabs>
        <w:ind w:left="30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30"/>
        </w:tabs>
        <w:ind w:left="45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250"/>
        </w:tabs>
        <w:ind w:left="5250" w:hanging="360"/>
      </w:pPr>
    </w:lvl>
  </w:abstractNum>
  <w:abstractNum w:abstractNumId="16" w15:restartNumberingAfterBreak="0">
    <w:nsid w:val="74367EED"/>
    <w:multiLevelType w:val="hybridMultilevel"/>
    <w:tmpl w:val="221CF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7B"/>
    <w:multiLevelType w:val="hybridMultilevel"/>
    <w:tmpl w:val="7C0E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2719A1"/>
    <w:multiLevelType w:val="multilevel"/>
    <w:tmpl w:val="A2EEF0A6"/>
    <w:lvl w:ilvl="0">
      <w:start w:val="1"/>
      <w:numFmt w:val="decimal"/>
      <w:pStyle w:val="BListLevel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9915A6"/>
    <w:multiLevelType w:val="hybridMultilevel"/>
    <w:tmpl w:val="3B2464B0"/>
    <w:lvl w:ilvl="0" w:tplc="D58AB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D20F5"/>
    <w:multiLevelType w:val="hybridMultilevel"/>
    <w:tmpl w:val="0E78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B4330"/>
    <w:multiLevelType w:val="hybridMultilevel"/>
    <w:tmpl w:val="7D96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8"/>
  </w:num>
  <w:num w:numId="17">
    <w:abstractNumId w:val="10"/>
  </w:num>
  <w:num w:numId="18">
    <w:abstractNumId w:val="21"/>
  </w:num>
  <w:num w:numId="19">
    <w:abstractNumId w:val="20"/>
  </w:num>
  <w:num w:numId="20">
    <w:abstractNumId w:val="1"/>
  </w:num>
  <w:num w:numId="21">
    <w:abstractNumId w:val="7"/>
  </w:num>
  <w:num w:numId="22">
    <w:abstractNumId w:val="19"/>
  </w:num>
  <w:num w:numId="23">
    <w:abstractNumId w:val="8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B0"/>
    <w:rsid w:val="000000D1"/>
    <w:rsid w:val="00002014"/>
    <w:rsid w:val="000029A8"/>
    <w:rsid w:val="00004F7E"/>
    <w:rsid w:val="00005D44"/>
    <w:rsid w:val="00007332"/>
    <w:rsid w:val="00015559"/>
    <w:rsid w:val="00044068"/>
    <w:rsid w:val="00044F62"/>
    <w:rsid w:val="00046D59"/>
    <w:rsid w:val="0004768B"/>
    <w:rsid w:val="00055411"/>
    <w:rsid w:val="00056C16"/>
    <w:rsid w:val="000576A1"/>
    <w:rsid w:val="00060220"/>
    <w:rsid w:val="00067248"/>
    <w:rsid w:val="00070A0C"/>
    <w:rsid w:val="000864ED"/>
    <w:rsid w:val="00086D69"/>
    <w:rsid w:val="00090EA6"/>
    <w:rsid w:val="00093A0B"/>
    <w:rsid w:val="000B0C42"/>
    <w:rsid w:val="000B4BA5"/>
    <w:rsid w:val="000B52F1"/>
    <w:rsid w:val="000B5EBC"/>
    <w:rsid w:val="000C4DB7"/>
    <w:rsid w:val="000C75A1"/>
    <w:rsid w:val="000C7B7A"/>
    <w:rsid w:val="000D0AD1"/>
    <w:rsid w:val="000D5B4A"/>
    <w:rsid w:val="000E3C2E"/>
    <w:rsid w:val="000E53F2"/>
    <w:rsid w:val="000E5970"/>
    <w:rsid w:val="001109A4"/>
    <w:rsid w:val="00112BF2"/>
    <w:rsid w:val="00121C48"/>
    <w:rsid w:val="00125580"/>
    <w:rsid w:val="00134386"/>
    <w:rsid w:val="0013535B"/>
    <w:rsid w:val="001372AE"/>
    <w:rsid w:val="00141DCE"/>
    <w:rsid w:val="00142FAE"/>
    <w:rsid w:val="001452BF"/>
    <w:rsid w:val="00146AD6"/>
    <w:rsid w:val="0016156A"/>
    <w:rsid w:val="0016750F"/>
    <w:rsid w:val="00181C41"/>
    <w:rsid w:val="00182949"/>
    <w:rsid w:val="001937E3"/>
    <w:rsid w:val="001978F1"/>
    <w:rsid w:val="00197BD0"/>
    <w:rsid w:val="001A3214"/>
    <w:rsid w:val="001B5320"/>
    <w:rsid w:val="001C2997"/>
    <w:rsid w:val="001D0E23"/>
    <w:rsid w:val="001D1094"/>
    <w:rsid w:val="001D46D6"/>
    <w:rsid w:val="001D6F58"/>
    <w:rsid w:val="001E4961"/>
    <w:rsid w:val="001F741F"/>
    <w:rsid w:val="001F767A"/>
    <w:rsid w:val="0020251D"/>
    <w:rsid w:val="0020509C"/>
    <w:rsid w:val="0020724F"/>
    <w:rsid w:val="00212A27"/>
    <w:rsid w:val="00214A54"/>
    <w:rsid w:val="00214A9A"/>
    <w:rsid w:val="002254F3"/>
    <w:rsid w:val="00227882"/>
    <w:rsid w:val="00232495"/>
    <w:rsid w:val="00234B4F"/>
    <w:rsid w:val="00234C9E"/>
    <w:rsid w:val="002369E1"/>
    <w:rsid w:val="00243940"/>
    <w:rsid w:val="0025027E"/>
    <w:rsid w:val="00251E6B"/>
    <w:rsid w:val="002546A2"/>
    <w:rsid w:val="00262AC8"/>
    <w:rsid w:val="00270395"/>
    <w:rsid w:val="0027061E"/>
    <w:rsid w:val="00277A14"/>
    <w:rsid w:val="002828B3"/>
    <w:rsid w:val="00283B9E"/>
    <w:rsid w:val="00284C2A"/>
    <w:rsid w:val="00285582"/>
    <w:rsid w:val="00291689"/>
    <w:rsid w:val="00296DDE"/>
    <w:rsid w:val="002A2B29"/>
    <w:rsid w:val="002A5278"/>
    <w:rsid w:val="002A5EC9"/>
    <w:rsid w:val="002A6040"/>
    <w:rsid w:val="002B24A0"/>
    <w:rsid w:val="002B64CC"/>
    <w:rsid w:val="002C022F"/>
    <w:rsid w:val="002C1AB7"/>
    <w:rsid w:val="002C4001"/>
    <w:rsid w:val="002C460D"/>
    <w:rsid w:val="002C72AD"/>
    <w:rsid w:val="002D1C95"/>
    <w:rsid w:val="002D642D"/>
    <w:rsid w:val="002E3A05"/>
    <w:rsid w:val="002E5151"/>
    <w:rsid w:val="002E75CB"/>
    <w:rsid w:val="002F32A2"/>
    <w:rsid w:val="002F3CEB"/>
    <w:rsid w:val="002F481D"/>
    <w:rsid w:val="00300B77"/>
    <w:rsid w:val="003033BF"/>
    <w:rsid w:val="00305012"/>
    <w:rsid w:val="00314590"/>
    <w:rsid w:val="00315E24"/>
    <w:rsid w:val="0032433B"/>
    <w:rsid w:val="00331B6B"/>
    <w:rsid w:val="00335CA0"/>
    <w:rsid w:val="00335DD3"/>
    <w:rsid w:val="00341919"/>
    <w:rsid w:val="00341E60"/>
    <w:rsid w:val="003466BE"/>
    <w:rsid w:val="0035163E"/>
    <w:rsid w:val="00355083"/>
    <w:rsid w:val="00355615"/>
    <w:rsid w:val="00361CC2"/>
    <w:rsid w:val="00362775"/>
    <w:rsid w:val="003638EA"/>
    <w:rsid w:val="00370C6D"/>
    <w:rsid w:val="00371010"/>
    <w:rsid w:val="00376702"/>
    <w:rsid w:val="003773A6"/>
    <w:rsid w:val="00381762"/>
    <w:rsid w:val="00383BBD"/>
    <w:rsid w:val="003925EF"/>
    <w:rsid w:val="00395139"/>
    <w:rsid w:val="003A0734"/>
    <w:rsid w:val="003A1652"/>
    <w:rsid w:val="003B0D4A"/>
    <w:rsid w:val="003B46C1"/>
    <w:rsid w:val="003B5E3D"/>
    <w:rsid w:val="003C2DA4"/>
    <w:rsid w:val="003C3965"/>
    <w:rsid w:val="003C505C"/>
    <w:rsid w:val="003C5E0B"/>
    <w:rsid w:val="003D0982"/>
    <w:rsid w:val="003D6632"/>
    <w:rsid w:val="003E348F"/>
    <w:rsid w:val="003F2BFA"/>
    <w:rsid w:val="003F5DB7"/>
    <w:rsid w:val="003F6988"/>
    <w:rsid w:val="00404873"/>
    <w:rsid w:val="004049AE"/>
    <w:rsid w:val="00416ACA"/>
    <w:rsid w:val="0042095C"/>
    <w:rsid w:val="00422892"/>
    <w:rsid w:val="00431095"/>
    <w:rsid w:val="004311FA"/>
    <w:rsid w:val="0043211C"/>
    <w:rsid w:val="00432DD3"/>
    <w:rsid w:val="004522CB"/>
    <w:rsid w:val="00452846"/>
    <w:rsid w:val="004554C1"/>
    <w:rsid w:val="004574FB"/>
    <w:rsid w:val="00466325"/>
    <w:rsid w:val="0046647C"/>
    <w:rsid w:val="00470AF1"/>
    <w:rsid w:val="004772ED"/>
    <w:rsid w:val="00480989"/>
    <w:rsid w:val="004809C7"/>
    <w:rsid w:val="00484ED4"/>
    <w:rsid w:val="004867E6"/>
    <w:rsid w:val="004A1B2A"/>
    <w:rsid w:val="004A76F4"/>
    <w:rsid w:val="004B4D0E"/>
    <w:rsid w:val="004C1F41"/>
    <w:rsid w:val="004C2AAA"/>
    <w:rsid w:val="004D7385"/>
    <w:rsid w:val="004D7A95"/>
    <w:rsid w:val="004E0468"/>
    <w:rsid w:val="004E6BA2"/>
    <w:rsid w:val="004E6CE4"/>
    <w:rsid w:val="004E6D28"/>
    <w:rsid w:val="004F2872"/>
    <w:rsid w:val="004F2CF4"/>
    <w:rsid w:val="00500295"/>
    <w:rsid w:val="00511C1E"/>
    <w:rsid w:val="00521D02"/>
    <w:rsid w:val="005227E7"/>
    <w:rsid w:val="00541387"/>
    <w:rsid w:val="00543DC1"/>
    <w:rsid w:val="00550CDD"/>
    <w:rsid w:val="00553FBA"/>
    <w:rsid w:val="00554D77"/>
    <w:rsid w:val="005605F2"/>
    <w:rsid w:val="00561AD6"/>
    <w:rsid w:val="00564FE7"/>
    <w:rsid w:val="00566A84"/>
    <w:rsid w:val="00567683"/>
    <w:rsid w:val="005764CC"/>
    <w:rsid w:val="0057752E"/>
    <w:rsid w:val="00581E44"/>
    <w:rsid w:val="0058481B"/>
    <w:rsid w:val="00586175"/>
    <w:rsid w:val="00587EDB"/>
    <w:rsid w:val="005902E5"/>
    <w:rsid w:val="005A1116"/>
    <w:rsid w:val="005A1D0D"/>
    <w:rsid w:val="005A223B"/>
    <w:rsid w:val="005A79EB"/>
    <w:rsid w:val="005B47AD"/>
    <w:rsid w:val="005C0F10"/>
    <w:rsid w:val="005C451F"/>
    <w:rsid w:val="005C7E4A"/>
    <w:rsid w:val="005D6A75"/>
    <w:rsid w:val="005D7D06"/>
    <w:rsid w:val="005F0F84"/>
    <w:rsid w:val="005F2E88"/>
    <w:rsid w:val="005F356E"/>
    <w:rsid w:val="005F616B"/>
    <w:rsid w:val="0060143C"/>
    <w:rsid w:val="00617DF7"/>
    <w:rsid w:val="0062349F"/>
    <w:rsid w:val="00623DDA"/>
    <w:rsid w:val="00631CDD"/>
    <w:rsid w:val="0063251A"/>
    <w:rsid w:val="0064654F"/>
    <w:rsid w:val="006534F2"/>
    <w:rsid w:val="00666297"/>
    <w:rsid w:val="006812BA"/>
    <w:rsid w:val="00682CD8"/>
    <w:rsid w:val="006832AF"/>
    <w:rsid w:val="00685665"/>
    <w:rsid w:val="0069444C"/>
    <w:rsid w:val="006A1B92"/>
    <w:rsid w:val="006B1837"/>
    <w:rsid w:val="006C65D2"/>
    <w:rsid w:val="006E3822"/>
    <w:rsid w:val="006E659E"/>
    <w:rsid w:val="006F44D1"/>
    <w:rsid w:val="006F4FAA"/>
    <w:rsid w:val="006F7B08"/>
    <w:rsid w:val="0070020D"/>
    <w:rsid w:val="00720983"/>
    <w:rsid w:val="00726633"/>
    <w:rsid w:val="0073783C"/>
    <w:rsid w:val="00740A41"/>
    <w:rsid w:val="00745934"/>
    <w:rsid w:val="007469BC"/>
    <w:rsid w:val="00747E94"/>
    <w:rsid w:val="00750F6F"/>
    <w:rsid w:val="007515EB"/>
    <w:rsid w:val="00760950"/>
    <w:rsid w:val="0076736D"/>
    <w:rsid w:val="00771F33"/>
    <w:rsid w:val="007737D3"/>
    <w:rsid w:val="00783D1C"/>
    <w:rsid w:val="00786A39"/>
    <w:rsid w:val="00796376"/>
    <w:rsid w:val="007A673E"/>
    <w:rsid w:val="007B3206"/>
    <w:rsid w:val="007B6CD5"/>
    <w:rsid w:val="007C03AF"/>
    <w:rsid w:val="007C7681"/>
    <w:rsid w:val="007D45ED"/>
    <w:rsid w:val="007E3D41"/>
    <w:rsid w:val="007F4B3D"/>
    <w:rsid w:val="007F746E"/>
    <w:rsid w:val="00802493"/>
    <w:rsid w:val="0080671A"/>
    <w:rsid w:val="00806C22"/>
    <w:rsid w:val="008233A3"/>
    <w:rsid w:val="00823ACA"/>
    <w:rsid w:val="00825851"/>
    <w:rsid w:val="00842886"/>
    <w:rsid w:val="00843EDC"/>
    <w:rsid w:val="008470B1"/>
    <w:rsid w:val="00854CAF"/>
    <w:rsid w:val="00861599"/>
    <w:rsid w:val="00861A8F"/>
    <w:rsid w:val="00866F9D"/>
    <w:rsid w:val="0087129D"/>
    <w:rsid w:val="0088003E"/>
    <w:rsid w:val="00881023"/>
    <w:rsid w:val="00882B4D"/>
    <w:rsid w:val="00883B98"/>
    <w:rsid w:val="0089575D"/>
    <w:rsid w:val="0089654E"/>
    <w:rsid w:val="00896795"/>
    <w:rsid w:val="008A078E"/>
    <w:rsid w:val="008A1B97"/>
    <w:rsid w:val="008A65A7"/>
    <w:rsid w:val="008B27E4"/>
    <w:rsid w:val="008B6F57"/>
    <w:rsid w:val="008C18FF"/>
    <w:rsid w:val="008C1D9D"/>
    <w:rsid w:val="008E1E14"/>
    <w:rsid w:val="008F0D49"/>
    <w:rsid w:val="008F17A5"/>
    <w:rsid w:val="008F54F2"/>
    <w:rsid w:val="008F6C08"/>
    <w:rsid w:val="00903063"/>
    <w:rsid w:val="00907A11"/>
    <w:rsid w:val="009126AC"/>
    <w:rsid w:val="009127FF"/>
    <w:rsid w:val="00915BCB"/>
    <w:rsid w:val="009174C5"/>
    <w:rsid w:val="00931995"/>
    <w:rsid w:val="00935AAC"/>
    <w:rsid w:val="00935C2D"/>
    <w:rsid w:val="00941C20"/>
    <w:rsid w:val="00950349"/>
    <w:rsid w:val="00951AB7"/>
    <w:rsid w:val="00951EAD"/>
    <w:rsid w:val="00956A65"/>
    <w:rsid w:val="00957894"/>
    <w:rsid w:val="009604F3"/>
    <w:rsid w:val="00965DDD"/>
    <w:rsid w:val="00967B33"/>
    <w:rsid w:val="009738C8"/>
    <w:rsid w:val="00973C95"/>
    <w:rsid w:val="009842B9"/>
    <w:rsid w:val="00995884"/>
    <w:rsid w:val="009959DE"/>
    <w:rsid w:val="00996E90"/>
    <w:rsid w:val="00997435"/>
    <w:rsid w:val="009A021F"/>
    <w:rsid w:val="009A1542"/>
    <w:rsid w:val="009A3E23"/>
    <w:rsid w:val="009A5392"/>
    <w:rsid w:val="009A67C9"/>
    <w:rsid w:val="009B69F4"/>
    <w:rsid w:val="009C2C7D"/>
    <w:rsid w:val="009D0E43"/>
    <w:rsid w:val="009D44DA"/>
    <w:rsid w:val="009F24DD"/>
    <w:rsid w:val="009F2F27"/>
    <w:rsid w:val="009F2FC7"/>
    <w:rsid w:val="009F5D5C"/>
    <w:rsid w:val="00A009F9"/>
    <w:rsid w:val="00A01786"/>
    <w:rsid w:val="00A153D0"/>
    <w:rsid w:val="00A16193"/>
    <w:rsid w:val="00A220CF"/>
    <w:rsid w:val="00A27062"/>
    <w:rsid w:val="00A307D3"/>
    <w:rsid w:val="00A308D4"/>
    <w:rsid w:val="00A40BC2"/>
    <w:rsid w:val="00A41D4B"/>
    <w:rsid w:val="00A442BC"/>
    <w:rsid w:val="00A44611"/>
    <w:rsid w:val="00A5036D"/>
    <w:rsid w:val="00A50C61"/>
    <w:rsid w:val="00A51F42"/>
    <w:rsid w:val="00A53FDE"/>
    <w:rsid w:val="00A627E4"/>
    <w:rsid w:val="00A641B0"/>
    <w:rsid w:val="00A70804"/>
    <w:rsid w:val="00A713EE"/>
    <w:rsid w:val="00A81026"/>
    <w:rsid w:val="00A81165"/>
    <w:rsid w:val="00A82614"/>
    <w:rsid w:val="00AA1F04"/>
    <w:rsid w:val="00AA3536"/>
    <w:rsid w:val="00AA6D44"/>
    <w:rsid w:val="00AB07B2"/>
    <w:rsid w:val="00AB24ED"/>
    <w:rsid w:val="00AB3EE2"/>
    <w:rsid w:val="00AD0CB3"/>
    <w:rsid w:val="00AD686B"/>
    <w:rsid w:val="00AE0431"/>
    <w:rsid w:val="00AE1A62"/>
    <w:rsid w:val="00AE39F5"/>
    <w:rsid w:val="00AE6C44"/>
    <w:rsid w:val="00AF6EB2"/>
    <w:rsid w:val="00B071B2"/>
    <w:rsid w:val="00B20087"/>
    <w:rsid w:val="00B24B39"/>
    <w:rsid w:val="00B27E72"/>
    <w:rsid w:val="00B511F8"/>
    <w:rsid w:val="00B517FA"/>
    <w:rsid w:val="00B519E3"/>
    <w:rsid w:val="00B52D4C"/>
    <w:rsid w:val="00B604FD"/>
    <w:rsid w:val="00B608A3"/>
    <w:rsid w:val="00B742F4"/>
    <w:rsid w:val="00B74920"/>
    <w:rsid w:val="00B761A9"/>
    <w:rsid w:val="00B82F7B"/>
    <w:rsid w:val="00B84260"/>
    <w:rsid w:val="00B87EF1"/>
    <w:rsid w:val="00B9246A"/>
    <w:rsid w:val="00B95766"/>
    <w:rsid w:val="00B979DD"/>
    <w:rsid w:val="00BA00DB"/>
    <w:rsid w:val="00BA1AA3"/>
    <w:rsid w:val="00BA3230"/>
    <w:rsid w:val="00BA4163"/>
    <w:rsid w:val="00BA60AC"/>
    <w:rsid w:val="00BB2C77"/>
    <w:rsid w:val="00BC5481"/>
    <w:rsid w:val="00BE163E"/>
    <w:rsid w:val="00BF6E1A"/>
    <w:rsid w:val="00C02BE2"/>
    <w:rsid w:val="00C067CD"/>
    <w:rsid w:val="00C07213"/>
    <w:rsid w:val="00C12D90"/>
    <w:rsid w:val="00C15D8B"/>
    <w:rsid w:val="00C21BD9"/>
    <w:rsid w:val="00C263CD"/>
    <w:rsid w:val="00C27025"/>
    <w:rsid w:val="00C52001"/>
    <w:rsid w:val="00C56CCF"/>
    <w:rsid w:val="00C6378E"/>
    <w:rsid w:val="00C70C16"/>
    <w:rsid w:val="00C76BD5"/>
    <w:rsid w:val="00C87AB3"/>
    <w:rsid w:val="00C9376C"/>
    <w:rsid w:val="00CA1074"/>
    <w:rsid w:val="00CA1B11"/>
    <w:rsid w:val="00CA4DDE"/>
    <w:rsid w:val="00CA6A7F"/>
    <w:rsid w:val="00CB797D"/>
    <w:rsid w:val="00CC1432"/>
    <w:rsid w:val="00CC28D6"/>
    <w:rsid w:val="00CC6291"/>
    <w:rsid w:val="00CD044D"/>
    <w:rsid w:val="00CD15FC"/>
    <w:rsid w:val="00CD2DB0"/>
    <w:rsid w:val="00CD5332"/>
    <w:rsid w:val="00CD6FCE"/>
    <w:rsid w:val="00CF3FEF"/>
    <w:rsid w:val="00D102A1"/>
    <w:rsid w:val="00D11ADA"/>
    <w:rsid w:val="00D12109"/>
    <w:rsid w:val="00D164E8"/>
    <w:rsid w:val="00D17BDC"/>
    <w:rsid w:val="00D257FE"/>
    <w:rsid w:val="00D271B0"/>
    <w:rsid w:val="00D40776"/>
    <w:rsid w:val="00D41782"/>
    <w:rsid w:val="00D51DEF"/>
    <w:rsid w:val="00D54FCB"/>
    <w:rsid w:val="00D5566D"/>
    <w:rsid w:val="00D56A9D"/>
    <w:rsid w:val="00D57A73"/>
    <w:rsid w:val="00D60215"/>
    <w:rsid w:val="00D60C5A"/>
    <w:rsid w:val="00D63124"/>
    <w:rsid w:val="00D638B7"/>
    <w:rsid w:val="00D73A14"/>
    <w:rsid w:val="00D747A6"/>
    <w:rsid w:val="00D74924"/>
    <w:rsid w:val="00D769AD"/>
    <w:rsid w:val="00D776C7"/>
    <w:rsid w:val="00D8161C"/>
    <w:rsid w:val="00D870F7"/>
    <w:rsid w:val="00D901FF"/>
    <w:rsid w:val="00D92635"/>
    <w:rsid w:val="00D92F86"/>
    <w:rsid w:val="00D96DDC"/>
    <w:rsid w:val="00DA25BC"/>
    <w:rsid w:val="00DA3368"/>
    <w:rsid w:val="00DA7F5C"/>
    <w:rsid w:val="00DC7C11"/>
    <w:rsid w:val="00DD5967"/>
    <w:rsid w:val="00DD598F"/>
    <w:rsid w:val="00DD7611"/>
    <w:rsid w:val="00DD7FD6"/>
    <w:rsid w:val="00DE23D1"/>
    <w:rsid w:val="00DF3EE1"/>
    <w:rsid w:val="00DF6A32"/>
    <w:rsid w:val="00DF78CB"/>
    <w:rsid w:val="00E01A31"/>
    <w:rsid w:val="00E066B4"/>
    <w:rsid w:val="00E07B6A"/>
    <w:rsid w:val="00E20921"/>
    <w:rsid w:val="00E2617A"/>
    <w:rsid w:val="00E26FAD"/>
    <w:rsid w:val="00E552FD"/>
    <w:rsid w:val="00E609DC"/>
    <w:rsid w:val="00E63453"/>
    <w:rsid w:val="00E656C3"/>
    <w:rsid w:val="00E67E59"/>
    <w:rsid w:val="00E70393"/>
    <w:rsid w:val="00E74A97"/>
    <w:rsid w:val="00E750FB"/>
    <w:rsid w:val="00E803DA"/>
    <w:rsid w:val="00E956AD"/>
    <w:rsid w:val="00E9592D"/>
    <w:rsid w:val="00EA3679"/>
    <w:rsid w:val="00EB00BE"/>
    <w:rsid w:val="00EB27AE"/>
    <w:rsid w:val="00EC0152"/>
    <w:rsid w:val="00EC7844"/>
    <w:rsid w:val="00EE71A4"/>
    <w:rsid w:val="00EE74B7"/>
    <w:rsid w:val="00EF6052"/>
    <w:rsid w:val="00F02267"/>
    <w:rsid w:val="00F04931"/>
    <w:rsid w:val="00F12B57"/>
    <w:rsid w:val="00F13F77"/>
    <w:rsid w:val="00F1682C"/>
    <w:rsid w:val="00F22580"/>
    <w:rsid w:val="00F35EED"/>
    <w:rsid w:val="00F42C07"/>
    <w:rsid w:val="00F44280"/>
    <w:rsid w:val="00F45F54"/>
    <w:rsid w:val="00F51261"/>
    <w:rsid w:val="00F5272F"/>
    <w:rsid w:val="00F52CDC"/>
    <w:rsid w:val="00F531C6"/>
    <w:rsid w:val="00F57448"/>
    <w:rsid w:val="00F6050B"/>
    <w:rsid w:val="00F6672E"/>
    <w:rsid w:val="00F71A3D"/>
    <w:rsid w:val="00F7555F"/>
    <w:rsid w:val="00F80836"/>
    <w:rsid w:val="00F90BEE"/>
    <w:rsid w:val="00F92AEB"/>
    <w:rsid w:val="00F93116"/>
    <w:rsid w:val="00F95A5E"/>
    <w:rsid w:val="00F97FAD"/>
    <w:rsid w:val="00FA2EA9"/>
    <w:rsid w:val="00FB465C"/>
    <w:rsid w:val="00FB6E8B"/>
    <w:rsid w:val="00FC1041"/>
    <w:rsid w:val="00FC2938"/>
    <w:rsid w:val="00FD04D8"/>
    <w:rsid w:val="00FD24E8"/>
    <w:rsid w:val="00FE56ED"/>
    <w:rsid w:val="00FE5DC7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225E8"/>
  <w15:docId w15:val="{F3FB3866-5993-4E94-A24D-064D11D5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B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B0"/>
    <w:pPr>
      <w:ind w:left="720"/>
      <w:contextualSpacing/>
    </w:pPr>
  </w:style>
  <w:style w:type="paragraph" w:styleId="Header">
    <w:name w:val="header"/>
    <w:basedOn w:val="Normal"/>
    <w:link w:val="HeaderChar"/>
    <w:rsid w:val="004C1F41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1F41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867E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867E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RFPBodyText-7">
    <w:name w:val="RFP Body Text - .7&quot;"/>
    <w:basedOn w:val="Normal"/>
    <w:rsid w:val="00E750FB"/>
    <w:pPr>
      <w:keepLines/>
      <w:spacing w:before="120" w:after="120" w:line="240" w:lineRule="auto"/>
      <w:ind w:left="1008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41782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59"/>
    <w:rsid w:val="001C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7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025"/>
    <w:rPr>
      <w:b/>
      <w:bCs/>
      <w:sz w:val="20"/>
      <w:szCs w:val="20"/>
    </w:rPr>
  </w:style>
  <w:style w:type="paragraph" w:customStyle="1" w:styleId="BListLevel1">
    <w:name w:val="B.List Level 1"/>
    <w:basedOn w:val="ListParagraph"/>
    <w:link w:val="BListLevel1Char"/>
    <w:uiPriority w:val="3"/>
    <w:qFormat/>
    <w:rsid w:val="00861A8F"/>
    <w:pPr>
      <w:numPr>
        <w:numId w:val="16"/>
      </w:numPr>
      <w:spacing w:after="280" w:line="280" w:lineRule="exact"/>
    </w:pPr>
    <w:rPr>
      <w:rFonts w:ascii="Calibri" w:eastAsia="Times New Roman" w:hAnsi="Calibri"/>
      <w:color w:val="55595B"/>
      <w:kern w:val="28"/>
      <w:sz w:val="20"/>
    </w:rPr>
  </w:style>
  <w:style w:type="character" w:customStyle="1" w:styleId="BListLevel1Char">
    <w:name w:val="B.List Level 1 Char"/>
    <w:basedOn w:val="DefaultParagraphFont"/>
    <w:link w:val="BListLevel1"/>
    <w:uiPriority w:val="3"/>
    <w:rsid w:val="00861A8F"/>
    <w:rPr>
      <w:rFonts w:ascii="Calibri" w:eastAsia="Times New Roman" w:hAnsi="Calibri"/>
      <w:color w:val="55595B"/>
      <w:kern w:val="28"/>
      <w:sz w:val="20"/>
    </w:rPr>
  </w:style>
  <w:style w:type="paragraph" w:styleId="NormalWeb">
    <w:name w:val="Normal (Web)"/>
    <w:basedOn w:val="Normal"/>
    <w:uiPriority w:val="99"/>
    <w:unhideWhenUsed/>
    <w:rsid w:val="00623DD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294">
                      <w:marLeft w:val="0"/>
                      <w:marRight w:val="0"/>
                      <w:marTop w:val="187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King</dc:creator>
  <cp:lastModifiedBy>Anita Jansen</cp:lastModifiedBy>
  <cp:revision>4</cp:revision>
  <cp:lastPrinted>2017-05-15T20:39:00Z</cp:lastPrinted>
  <dcterms:created xsi:type="dcterms:W3CDTF">2017-09-15T14:14:00Z</dcterms:created>
  <dcterms:modified xsi:type="dcterms:W3CDTF">2017-09-15T19:26:00Z</dcterms:modified>
</cp:coreProperties>
</file>